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59" w:rsidRDefault="008A09B5">
      <w:r>
        <w:rPr>
          <w:noProof/>
          <w:lang w:eastAsia="it-IT"/>
        </w:rPr>
        <w:drawing>
          <wp:inline distT="0" distB="0" distL="0" distR="0" wp14:anchorId="597BC116" wp14:editId="7BAB4440">
            <wp:extent cx="1907540" cy="605790"/>
            <wp:effectExtent l="0" t="0" r="0" b="381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right" w:tblpY="1702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8B4159">
        <w:trPr>
          <w:cantSplit/>
          <w:trHeight w:val="257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59" w:rsidRPr="00F45EC2" w:rsidRDefault="00756C01">
            <w:pPr>
              <w:rPr>
                <w:rFonts w:ascii="Arial" w:hAnsi="Arial" w:cs="Arial"/>
                <w:iCs/>
                <w:sz w:val="18"/>
              </w:rPr>
            </w:pPr>
            <w:r w:rsidRPr="00F45EC2">
              <w:rPr>
                <w:rFonts w:ascii="Garamond" w:hAnsi="Garamond" w:cs="Arial"/>
                <w:b/>
                <w:iCs/>
                <w:sz w:val="24"/>
                <w:szCs w:val="24"/>
              </w:rPr>
              <w:t>IMPOSTA DI BOLLO ASSOLTA</w:t>
            </w:r>
          </w:p>
        </w:tc>
      </w:tr>
      <w:tr w:rsidR="008B4159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59" w:rsidRDefault="008B4159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59" w:rsidRDefault="008B415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B4159">
        <w:trPr>
          <w:cantSplit/>
          <w:trHeight w:val="221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159" w:rsidRDefault="008B415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8B4159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59" w:rsidRDefault="008B4159">
            <w:pPr>
              <w:rPr>
                <w:rFonts w:ascii="Arial" w:hAnsi="Arial" w:cs="Arial"/>
                <w:i/>
                <w:iCs/>
                <w:sz w:val="14"/>
              </w:rPr>
            </w:pPr>
          </w:p>
          <w:p w:rsidR="004624B0" w:rsidRDefault="004624B0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4159" w:rsidRDefault="003C5E63">
            <w:pPr>
              <w:rPr>
                <w:rFonts w:ascii="Garamond" w:hAnsi="Garamond" w:cs="Arial"/>
                <w:sz w:val="26"/>
                <w:szCs w:val="26"/>
              </w:rPr>
            </w:pPr>
            <w:r w:rsidRPr="003C5E63">
              <w:rPr>
                <w:rFonts w:ascii="Garamond" w:hAnsi="Garamond" w:cs="Arial"/>
                <w:sz w:val="26"/>
                <w:szCs w:val="26"/>
              </w:rPr>
              <w:t>Roma,</w:t>
            </w:r>
            <w:r w:rsidR="00BB70CD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1B5C4D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  <w:p w:rsidR="00AB1587" w:rsidRDefault="005E5603" w:rsidP="001664F1">
            <w:pPr>
              <w:spacing w:after="0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A:</w:t>
            </w:r>
            <w:r w:rsidR="00AB1587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2A6A5F">
              <w:rPr>
                <w:rFonts w:ascii="Garamond" w:hAnsi="Garamond" w:cs="Arial"/>
                <w:sz w:val="26"/>
                <w:szCs w:val="26"/>
              </w:rPr>
              <w:t>___________________</w:t>
            </w:r>
          </w:p>
          <w:p w:rsidR="00D03646" w:rsidRDefault="00A115EC" w:rsidP="00AB1587">
            <w:pPr>
              <w:spacing w:after="0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 xml:space="preserve">Via </w:t>
            </w:r>
            <w:r w:rsidR="002A6A5F">
              <w:rPr>
                <w:rFonts w:ascii="Garamond" w:hAnsi="Garamond" w:cs="Arial"/>
                <w:sz w:val="26"/>
                <w:szCs w:val="26"/>
              </w:rPr>
              <w:t>__________________</w:t>
            </w:r>
          </w:p>
          <w:p w:rsidR="00AB1587" w:rsidRPr="001734F3" w:rsidRDefault="002A6A5F" w:rsidP="00AB1587">
            <w:pPr>
              <w:spacing w:after="0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___________________</w:t>
            </w:r>
            <w:r w:rsidR="001734F3" w:rsidRPr="001734F3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117F15" w:rsidRPr="001734F3">
              <w:rPr>
                <w:rFonts w:ascii="Garamond" w:hAnsi="Garamond" w:cs="Arial"/>
                <w:sz w:val="26"/>
                <w:szCs w:val="26"/>
              </w:rPr>
              <w:t>(RM)</w:t>
            </w:r>
            <w:r w:rsidR="006B6F96" w:rsidRPr="001734F3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  <w:p w:rsidR="00E21C55" w:rsidRPr="001734F3" w:rsidRDefault="00E21C55" w:rsidP="00AB1587">
            <w:pPr>
              <w:spacing w:after="0"/>
              <w:rPr>
                <w:rFonts w:ascii="Garamond" w:hAnsi="Garamond" w:cs="Arial"/>
                <w:sz w:val="26"/>
                <w:szCs w:val="26"/>
              </w:rPr>
            </w:pPr>
            <w:r w:rsidRPr="001734F3">
              <w:rPr>
                <w:rFonts w:ascii="Garamond" w:hAnsi="Garamond" w:cs="Arial"/>
                <w:sz w:val="26"/>
                <w:szCs w:val="26"/>
              </w:rPr>
              <w:t>Pec:</w:t>
            </w:r>
            <w:r w:rsidR="002A6A5F">
              <w:rPr>
                <w:rFonts w:ascii="Garamond" w:hAnsi="Garamond" w:cs="Arial"/>
                <w:sz w:val="26"/>
                <w:szCs w:val="26"/>
              </w:rPr>
              <w:t>__________________</w:t>
            </w:r>
            <w:r w:rsidR="001734F3" w:rsidRPr="001734F3">
              <w:rPr>
                <w:rFonts w:ascii="Garamond" w:hAnsi="Garamond" w:cs="Arial"/>
                <w:sz w:val="26"/>
                <w:szCs w:val="26"/>
              </w:rPr>
              <w:t xml:space="preserve">  </w:t>
            </w:r>
            <w:r w:rsidR="004624B0" w:rsidRPr="001734F3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0512C1" w:rsidRPr="001734F3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hyperlink r:id="rId8" w:history="1"/>
            <w:r w:rsidR="000117F6" w:rsidRPr="001734F3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506537" w:rsidRPr="001734F3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  <w:p w:rsidR="005E5603" w:rsidRPr="003C5E63" w:rsidRDefault="005E5603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4159" w:rsidRDefault="00081CAD" w:rsidP="00405BC0">
      <w:pPr>
        <w:spacing w:after="0"/>
        <w:rPr>
          <w:rFonts w:ascii="Garamond" w:hAnsi="Garamond"/>
          <w:b/>
          <w:smallCaps/>
          <w:color w:val="003499"/>
          <w:sz w:val="18"/>
        </w:rPr>
      </w:pPr>
      <w:r>
        <w:rPr>
          <w:rFonts w:ascii="Garamond" w:hAnsi="Garamond"/>
          <w:b/>
          <w:smallCaps/>
          <w:color w:val="003499"/>
          <w:sz w:val="18"/>
        </w:rPr>
        <w:t xml:space="preserve">DT </w:t>
      </w:r>
    </w:p>
    <w:p w:rsidR="008B4159" w:rsidRPr="00DB4A23" w:rsidRDefault="00C145F5">
      <w:pPr>
        <w:spacing w:line="340" w:lineRule="exact"/>
        <w:rPr>
          <w:rFonts w:ascii="Garamond" w:hAnsi="Garamond"/>
          <w:b/>
          <w:color w:val="003499"/>
          <w:sz w:val="18"/>
          <w:szCs w:val="18"/>
        </w:rPr>
      </w:pPr>
      <w:r w:rsidRPr="00DB4A23">
        <w:rPr>
          <w:rFonts w:ascii="Garamond" w:hAnsi="Garamond"/>
          <w:b/>
          <w:color w:val="003499"/>
          <w:sz w:val="18"/>
          <w:szCs w:val="18"/>
        </w:rPr>
        <w:t>U</w:t>
      </w:r>
      <w:r w:rsidR="00076ACA">
        <w:rPr>
          <w:rFonts w:ascii="Garamond" w:hAnsi="Garamond"/>
          <w:b/>
          <w:color w:val="003499"/>
          <w:sz w:val="18"/>
          <w:szCs w:val="18"/>
        </w:rPr>
        <w:t xml:space="preserve">fficio </w:t>
      </w:r>
      <w:r w:rsidR="00E32708">
        <w:rPr>
          <w:rFonts w:ascii="Garamond" w:hAnsi="Garamond"/>
          <w:b/>
          <w:color w:val="003499"/>
          <w:sz w:val="18"/>
          <w:szCs w:val="18"/>
        </w:rPr>
        <w:t>d</w:t>
      </w:r>
      <w:r w:rsidR="00076ACA">
        <w:rPr>
          <w:rFonts w:ascii="Garamond" w:hAnsi="Garamond"/>
          <w:b/>
          <w:color w:val="003499"/>
          <w:sz w:val="18"/>
          <w:szCs w:val="18"/>
        </w:rPr>
        <w:t xml:space="preserve">ei Monopoli per </w:t>
      </w:r>
    </w:p>
    <w:p w:rsidR="008B4159" w:rsidRDefault="00C145F5" w:rsidP="003C5E63">
      <w:pPr>
        <w:spacing w:line="340" w:lineRule="exact"/>
        <w:jc w:val="both"/>
        <w:rPr>
          <w:rFonts w:ascii="Garamond" w:hAnsi="Garamond"/>
          <w:b/>
          <w:color w:val="003499"/>
          <w:sz w:val="26"/>
          <w:szCs w:val="26"/>
        </w:rPr>
      </w:pPr>
      <w:r>
        <w:rPr>
          <w:rFonts w:ascii="Garamond" w:hAnsi="Garamond"/>
          <w:b/>
          <w:color w:val="003499"/>
          <w:sz w:val="26"/>
          <w:szCs w:val="26"/>
        </w:rPr>
        <w:t>Prot. n.</w:t>
      </w:r>
      <w:r w:rsidR="002A6A5F">
        <w:rPr>
          <w:rFonts w:ascii="Garamond" w:hAnsi="Garamond"/>
          <w:b/>
          <w:color w:val="003499"/>
          <w:sz w:val="26"/>
          <w:szCs w:val="26"/>
        </w:rPr>
        <w:t xml:space="preserve"> </w:t>
      </w:r>
      <w:r w:rsidR="004C0851">
        <w:rPr>
          <w:rFonts w:ascii="Garamond" w:hAnsi="Garamond"/>
          <w:b/>
          <w:color w:val="003499"/>
          <w:sz w:val="26"/>
          <w:szCs w:val="26"/>
        </w:rPr>
        <w:t xml:space="preserve"> </w:t>
      </w:r>
      <w:r w:rsidR="001B5C4D">
        <w:rPr>
          <w:rFonts w:ascii="Garamond" w:hAnsi="Garamond"/>
          <w:b/>
          <w:color w:val="003499"/>
          <w:sz w:val="26"/>
          <w:szCs w:val="26"/>
        </w:rPr>
        <w:t xml:space="preserve"> </w:t>
      </w:r>
      <w:r w:rsidR="00744C1E">
        <w:rPr>
          <w:rFonts w:ascii="Garamond" w:hAnsi="Garamond"/>
          <w:b/>
          <w:color w:val="003499"/>
          <w:sz w:val="26"/>
          <w:szCs w:val="26"/>
        </w:rPr>
        <w:t xml:space="preserve"> </w:t>
      </w:r>
      <w:r w:rsidR="002A1BB2">
        <w:rPr>
          <w:rFonts w:ascii="Garamond" w:hAnsi="Garamond"/>
          <w:b/>
          <w:color w:val="003499"/>
          <w:sz w:val="26"/>
          <w:szCs w:val="26"/>
        </w:rPr>
        <w:t xml:space="preserve"> </w:t>
      </w:r>
    </w:p>
    <w:p w:rsidR="007B560C" w:rsidRDefault="007B560C">
      <w:pPr>
        <w:jc w:val="center"/>
        <w:rPr>
          <w:rFonts w:ascii="Garamond" w:eastAsia="Times New Roman" w:hAnsi="Garamond" w:cs="Arial"/>
          <w:b/>
          <w:sz w:val="26"/>
          <w:szCs w:val="26"/>
          <w:lang w:eastAsia="it-IT"/>
        </w:rPr>
      </w:pPr>
    </w:p>
    <w:p w:rsidR="005E5603" w:rsidRDefault="005E5603" w:rsidP="006E54B3">
      <w:pPr>
        <w:jc w:val="center"/>
        <w:rPr>
          <w:rFonts w:ascii="Garamond" w:eastAsia="Times New Roman" w:hAnsi="Garamond" w:cs="Arial"/>
          <w:b/>
          <w:sz w:val="26"/>
          <w:szCs w:val="26"/>
          <w:lang w:eastAsia="it-IT"/>
        </w:rPr>
      </w:pPr>
    </w:p>
    <w:p w:rsidR="004624B0" w:rsidRDefault="004624B0" w:rsidP="005E5603">
      <w:pPr>
        <w:jc w:val="both"/>
        <w:rPr>
          <w:rFonts w:ascii="Garamond" w:eastAsia="Times New Roman" w:hAnsi="Garamond" w:cs="Arial"/>
          <w:b/>
          <w:sz w:val="26"/>
          <w:szCs w:val="26"/>
          <w:lang w:eastAsia="it-IT"/>
        </w:rPr>
      </w:pPr>
    </w:p>
    <w:p w:rsidR="00890B73" w:rsidRPr="00C15D14" w:rsidRDefault="00890B73" w:rsidP="005E5603">
      <w:pPr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</w:p>
    <w:p w:rsidR="008B4159" w:rsidRDefault="005E5603" w:rsidP="005E5603">
      <w:pPr>
        <w:jc w:val="both"/>
        <w:rPr>
          <w:rFonts w:ascii="Garamond" w:eastAsia="Times New Roman" w:hAnsi="Garamond" w:cs="Arial"/>
          <w:b/>
          <w:sz w:val="26"/>
          <w:szCs w:val="26"/>
          <w:lang w:eastAsia="it-IT"/>
        </w:rPr>
      </w:pPr>
      <w:r w:rsidRPr="00C15D14">
        <w:rPr>
          <w:rFonts w:ascii="Garamond" w:eastAsia="Times New Roman" w:hAnsi="Garamond" w:cs="Arial"/>
          <w:sz w:val="26"/>
          <w:szCs w:val="26"/>
          <w:lang w:eastAsia="it-IT"/>
        </w:rPr>
        <w:t xml:space="preserve">OGGETTO: </w:t>
      </w:r>
      <w:r w:rsidR="00C15D14">
        <w:rPr>
          <w:rFonts w:ascii="Garamond" w:eastAsia="Times New Roman" w:hAnsi="Garamond" w:cs="Arial"/>
          <w:sz w:val="26"/>
          <w:szCs w:val="26"/>
          <w:lang w:eastAsia="it-IT"/>
        </w:rPr>
        <w:t xml:space="preserve">esercizi di vicinato con funzionamento inferiore al biennio - Rinnovo </w:t>
      </w:r>
      <w:r w:rsidR="00C15D14" w:rsidRPr="00C15D14">
        <w:rPr>
          <w:rFonts w:ascii="Garamond" w:eastAsia="Times New Roman" w:hAnsi="Garamond" w:cs="Arial"/>
          <w:sz w:val="26"/>
          <w:szCs w:val="26"/>
          <w:lang w:eastAsia="it-IT"/>
        </w:rPr>
        <w:t xml:space="preserve">autorizzazione alla </w:t>
      </w:r>
      <w:r w:rsidR="00F34FE9" w:rsidRPr="00C15D14">
        <w:rPr>
          <w:rFonts w:ascii="Garamond" w:eastAsia="Times New Roman" w:hAnsi="Garamond" w:cs="Arial"/>
          <w:sz w:val="26"/>
          <w:szCs w:val="26"/>
          <w:lang w:eastAsia="it-IT"/>
        </w:rPr>
        <w:t>vendita</w:t>
      </w:r>
      <w:r w:rsidR="00F34FE9">
        <w:rPr>
          <w:rFonts w:ascii="Garamond" w:eastAsia="Times New Roman" w:hAnsi="Garamond" w:cs="Arial"/>
          <w:sz w:val="26"/>
          <w:szCs w:val="26"/>
          <w:lang w:eastAsia="it-IT"/>
        </w:rPr>
        <w:t xml:space="preserve"> e approvvigionamento di </w:t>
      </w:r>
      <w:r w:rsidR="00F34FE9" w:rsidRPr="00C32E84">
        <w:rPr>
          <w:rFonts w:ascii="Garamond" w:eastAsia="Times New Roman" w:hAnsi="Garamond" w:cs="Arial"/>
          <w:sz w:val="26"/>
          <w:szCs w:val="26"/>
          <w:lang w:eastAsia="it-IT"/>
        </w:rPr>
        <w:t xml:space="preserve">prodotti </w:t>
      </w:r>
      <w:r w:rsidR="00C15D14" w:rsidRPr="00C32E84">
        <w:rPr>
          <w:rFonts w:ascii="Garamond" w:eastAsia="Times New Roman" w:hAnsi="Garamond" w:cs="Arial"/>
          <w:sz w:val="26"/>
          <w:szCs w:val="26"/>
          <w:lang w:eastAsia="it-IT"/>
        </w:rPr>
        <w:t>liquidi da inalazione</w:t>
      </w:r>
      <w:r w:rsidR="00C15D14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F34FE9">
        <w:rPr>
          <w:rFonts w:ascii="Garamond" w:eastAsia="Times New Roman" w:hAnsi="Garamond" w:cs="Arial"/>
          <w:sz w:val="26"/>
          <w:szCs w:val="26"/>
          <w:lang w:eastAsia="it-IT"/>
        </w:rPr>
        <w:t>ai sensi dell’art. 62-</w:t>
      </w:r>
      <w:r w:rsidR="00F34FE9" w:rsidRPr="00C32E84">
        <w:rPr>
          <w:rFonts w:ascii="Garamond" w:eastAsia="Times New Roman" w:hAnsi="Garamond" w:cs="Arial"/>
          <w:i/>
          <w:sz w:val="26"/>
          <w:szCs w:val="26"/>
          <w:lang w:eastAsia="it-IT"/>
        </w:rPr>
        <w:t>quater</w:t>
      </w:r>
      <w:r w:rsidR="00F34FE9">
        <w:rPr>
          <w:rFonts w:ascii="Garamond" w:eastAsia="Times New Roman" w:hAnsi="Garamond" w:cs="Arial"/>
          <w:sz w:val="26"/>
          <w:szCs w:val="26"/>
          <w:lang w:eastAsia="it-IT"/>
        </w:rPr>
        <w:t>, decreto legi</w:t>
      </w:r>
      <w:r w:rsidR="00C15D14">
        <w:rPr>
          <w:rFonts w:ascii="Garamond" w:eastAsia="Times New Roman" w:hAnsi="Garamond" w:cs="Arial"/>
          <w:sz w:val="26"/>
          <w:szCs w:val="26"/>
          <w:lang w:eastAsia="it-IT"/>
        </w:rPr>
        <w:t>slativo 26 ottobre 1995, n. 504.</w:t>
      </w:r>
    </w:p>
    <w:p w:rsidR="007B560C" w:rsidRDefault="007B560C">
      <w:pPr>
        <w:spacing w:after="160" w:line="340" w:lineRule="exact"/>
        <w:jc w:val="both"/>
        <w:rPr>
          <w:rFonts w:ascii="Garamond" w:eastAsia="Times New Roman" w:hAnsi="Garamond" w:cs="Arial"/>
          <w:b/>
          <w:sz w:val="26"/>
          <w:szCs w:val="26"/>
          <w:lang w:eastAsia="it-IT"/>
        </w:rPr>
      </w:pP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D32BD0">
        <w:rPr>
          <w:rFonts w:ascii="Garamond" w:hAnsi="Garamond"/>
          <w:b/>
          <w:sz w:val="26"/>
          <w:szCs w:val="26"/>
        </w:rPr>
        <w:t>VISTO</w:t>
      </w:r>
      <w:r w:rsidRPr="00A65708">
        <w:rPr>
          <w:rFonts w:ascii="Garamond" w:hAnsi="Garamond"/>
          <w:sz w:val="26"/>
          <w:szCs w:val="26"/>
        </w:rPr>
        <w:t xml:space="preserve"> il decreto legislativo 26 </w:t>
      </w:r>
      <w:r w:rsidRPr="00B9447F">
        <w:rPr>
          <w:rFonts w:ascii="Garamond" w:hAnsi="Garamond"/>
          <w:sz w:val="26"/>
          <w:szCs w:val="26"/>
        </w:rPr>
        <w:t>ottobre 1995, n. 504, e successive modificazioni, recante il testo unico delle disposizioni legislative concernenti le imposte sulla produzione e sui consumi e relative sanzioni penali ed amministrative;</w:t>
      </w:r>
    </w:p>
    <w:p w:rsidR="00A36B37" w:rsidRPr="00A65708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DE3117">
        <w:rPr>
          <w:rFonts w:ascii="Garamond" w:hAnsi="Garamond"/>
          <w:b/>
          <w:sz w:val="26"/>
          <w:szCs w:val="26"/>
        </w:rPr>
        <w:t>VISTO</w:t>
      </w:r>
      <w:r w:rsidRPr="00A65708">
        <w:rPr>
          <w:rFonts w:ascii="Garamond" w:hAnsi="Garamond"/>
          <w:sz w:val="26"/>
          <w:szCs w:val="26"/>
        </w:rPr>
        <w:t xml:space="preserve"> il decreto legislativo 12 gennaio 2016, n. 6, recante recepimento della direttiva 2014/40/UE, sul </w:t>
      </w:r>
      <w:r w:rsidRPr="00B9447F">
        <w:rPr>
          <w:rFonts w:ascii="Garamond" w:hAnsi="Garamond"/>
          <w:sz w:val="26"/>
          <w:szCs w:val="26"/>
        </w:rPr>
        <w:t>ravvicinamento delle disposizioni legislative, regolamentari e amministrative degli Stati membri relative alla lavorazione, alla presentazione e alla vendita dei prodotti del tabacco e dei prodotti correlati e che abroga la direttiva 2001/37/CE;</w:t>
      </w: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A36B37" w:rsidRPr="00A65708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DE3117">
        <w:rPr>
          <w:rFonts w:ascii="Garamond" w:hAnsi="Garamond"/>
          <w:b/>
          <w:sz w:val="26"/>
          <w:szCs w:val="26"/>
        </w:rPr>
        <w:t>VISTO</w:t>
      </w:r>
      <w:r w:rsidRPr="00A65708">
        <w:rPr>
          <w:rFonts w:ascii="Garamond" w:hAnsi="Garamond"/>
          <w:sz w:val="26"/>
          <w:szCs w:val="26"/>
        </w:rPr>
        <w:t xml:space="preserve"> l’articolo 1 comma 75 lettera c) della legge di stabilità 2018 che ha aggiunto all’articolo 62 </w:t>
      </w:r>
      <w:r w:rsidRPr="00686C38">
        <w:rPr>
          <w:rFonts w:ascii="Garamond" w:hAnsi="Garamond"/>
          <w:i/>
          <w:sz w:val="26"/>
          <w:szCs w:val="26"/>
        </w:rPr>
        <w:t>quater</w:t>
      </w:r>
      <w:r w:rsidRPr="00A65708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Pr="00866242">
        <w:rPr>
          <w:rFonts w:ascii="Garamond" w:hAnsi="Garamond"/>
          <w:sz w:val="26"/>
          <w:szCs w:val="26"/>
        </w:rPr>
        <w:t>il</w:t>
      </w:r>
      <w:r w:rsidRPr="00A65708">
        <w:rPr>
          <w:rFonts w:ascii="Garamond" w:hAnsi="Garamond"/>
          <w:sz w:val="26"/>
          <w:szCs w:val="26"/>
        </w:rPr>
        <w:t xml:space="preserve"> comma 7 bis,  del decreto legislativo 26 ottobre 1995, n. 504, e successi</w:t>
      </w:r>
      <w:r>
        <w:rPr>
          <w:rFonts w:ascii="Garamond" w:hAnsi="Garamond"/>
          <w:sz w:val="26"/>
          <w:szCs w:val="26"/>
        </w:rPr>
        <w:t>ve modificazioni secondo cui: “</w:t>
      </w:r>
      <w:r w:rsidRPr="00F730AB">
        <w:rPr>
          <w:rFonts w:ascii="Garamond" w:hAnsi="Garamond"/>
          <w:i/>
          <w:sz w:val="26"/>
          <w:szCs w:val="26"/>
        </w:rPr>
        <w:t xml:space="preserve">Le disposizioni di cui agli articoli 291 bis, 291 ter e 291 quater del testo unico delle </w:t>
      </w:r>
      <w:r w:rsidRPr="00FC6470">
        <w:rPr>
          <w:rFonts w:ascii="Garamond" w:hAnsi="Garamond"/>
          <w:i/>
          <w:sz w:val="26"/>
          <w:szCs w:val="26"/>
        </w:rPr>
        <w:t>disposizioni legislative in materia doganale di cui al decreto del Presidente della Repubblica 23 gennaio 1973 n. 43, si applicano anche con riferimento ai prodotti di cui al comma 1 bis del presente articolo, ad eccezione dei dispositivi meccanici ed elettronici e delle parti di ricambio, secondo il meccanismo della equivalenza di cui al comma 1 bis. Si applicano altresì ai medesimi prodotti di cui ai commi 5 e 5 bis del presente articolo, le disposizioni degli articoli 96 della legge 17 luglio 1942 n. 907, e 5 della legge 18 gennaio 1984 n. 50</w:t>
      </w:r>
      <w:r w:rsidRPr="00FC6470">
        <w:rPr>
          <w:rFonts w:ascii="Garamond" w:hAnsi="Garamond"/>
          <w:sz w:val="26"/>
          <w:szCs w:val="26"/>
        </w:rPr>
        <w:t>.”;</w:t>
      </w: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A36B37" w:rsidRPr="00B9447F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A36B37">
        <w:rPr>
          <w:rFonts w:ascii="Garamond" w:hAnsi="Garamond"/>
          <w:b/>
          <w:sz w:val="26"/>
          <w:szCs w:val="26"/>
        </w:rPr>
        <w:t xml:space="preserve">VISTO </w:t>
      </w:r>
      <w:r w:rsidRPr="00A36B37">
        <w:rPr>
          <w:rFonts w:ascii="Garamond" w:hAnsi="Garamond"/>
          <w:sz w:val="26"/>
          <w:szCs w:val="26"/>
        </w:rPr>
        <w:t>l’art. 96 della legge 17 luglio 1942, n. 907 secondo il quale è punito con ammenda chiunque senza autorizzazione dell'Amministrazione dei monopoli vende o pone in vendita generi di monopolio nonché chi acquista generi di monopolio da persona non autorizzata alla vendita;</w:t>
      </w: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DE3117">
        <w:rPr>
          <w:rFonts w:ascii="Garamond" w:hAnsi="Garamond"/>
          <w:b/>
          <w:sz w:val="26"/>
          <w:szCs w:val="26"/>
        </w:rPr>
        <w:t>VISTO</w:t>
      </w:r>
      <w:r w:rsidRPr="00A65708">
        <w:rPr>
          <w:rFonts w:ascii="Garamond" w:hAnsi="Garamond"/>
          <w:sz w:val="26"/>
          <w:szCs w:val="26"/>
        </w:rPr>
        <w:t xml:space="preserve"> l’articolo 1, </w:t>
      </w:r>
      <w:r w:rsidRPr="00B9447F">
        <w:rPr>
          <w:rFonts w:ascii="Garamond" w:hAnsi="Garamond"/>
          <w:sz w:val="26"/>
          <w:szCs w:val="26"/>
        </w:rPr>
        <w:t xml:space="preserve">comma 1124, lettera f), della legge 30 dicembre 2020, n. 178, che ha modificato l’articolo 62 – </w:t>
      </w:r>
      <w:r w:rsidRPr="00686C38">
        <w:rPr>
          <w:rFonts w:ascii="Garamond" w:hAnsi="Garamond"/>
          <w:i/>
          <w:sz w:val="26"/>
          <w:szCs w:val="26"/>
        </w:rPr>
        <w:t>quater</w:t>
      </w:r>
      <w:r w:rsidRPr="00B9447F">
        <w:rPr>
          <w:rFonts w:ascii="Garamond" w:hAnsi="Garamond"/>
          <w:sz w:val="26"/>
          <w:szCs w:val="26"/>
        </w:rPr>
        <w:t>, del decreto legislativo 26 ottobre 1995, n. 504;</w:t>
      </w: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A36B37" w:rsidRPr="00A65708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DE3117">
        <w:rPr>
          <w:rFonts w:ascii="Garamond" w:hAnsi="Garamond"/>
          <w:b/>
          <w:sz w:val="26"/>
          <w:szCs w:val="26"/>
        </w:rPr>
        <w:lastRenderedPageBreak/>
        <w:t>VISTO</w:t>
      </w:r>
      <w:r w:rsidRPr="00A65708">
        <w:rPr>
          <w:rFonts w:ascii="Garamond" w:hAnsi="Garamond"/>
          <w:sz w:val="26"/>
          <w:szCs w:val="26"/>
        </w:rPr>
        <w:t xml:space="preserve"> l’arti</w:t>
      </w:r>
      <w:r>
        <w:rPr>
          <w:rFonts w:ascii="Garamond" w:hAnsi="Garamond"/>
          <w:sz w:val="26"/>
          <w:szCs w:val="26"/>
        </w:rPr>
        <w:t xml:space="preserve">colo 62 – </w:t>
      </w:r>
      <w:r w:rsidRPr="00686C38">
        <w:rPr>
          <w:rFonts w:ascii="Garamond" w:hAnsi="Garamond"/>
          <w:i/>
          <w:sz w:val="26"/>
          <w:szCs w:val="26"/>
        </w:rPr>
        <w:t>quater</w:t>
      </w:r>
      <w:r w:rsidR="0069723A">
        <w:rPr>
          <w:rFonts w:ascii="Garamond" w:hAnsi="Garamond"/>
          <w:sz w:val="26"/>
          <w:szCs w:val="26"/>
        </w:rPr>
        <w:t>, comma 3-</w:t>
      </w:r>
      <w:r w:rsidRPr="0069723A">
        <w:rPr>
          <w:rFonts w:ascii="Garamond" w:hAnsi="Garamond"/>
          <w:i/>
          <w:sz w:val="26"/>
          <w:szCs w:val="26"/>
        </w:rPr>
        <w:t>bis</w:t>
      </w:r>
      <w:r w:rsidR="0069723A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Pr="00A65708">
        <w:rPr>
          <w:rFonts w:ascii="Garamond" w:hAnsi="Garamond"/>
          <w:sz w:val="26"/>
          <w:szCs w:val="26"/>
        </w:rPr>
        <w:t xml:space="preserve">decreto legislativo 26 ottobre 1995, n. 504, e </w:t>
      </w:r>
      <w:r w:rsidRPr="00FC6470">
        <w:rPr>
          <w:rFonts w:ascii="Garamond" w:hAnsi="Garamond"/>
          <w:sz w:val="26"/>
          <w:szCs w:val="26"/>
        </w:rPr>
        <w:t>successive modificazioni, introdotto dall’art. 1, comma 1124, lettera d), legge 30 dicembre 2020, n. 178, secondo cui “</w:t>
      </w:r>
      <w:r w:rsidRPr="00FC6470">
        <w:rPr>
          <w:rFonts w:ascii="Garamond" w:hAnsi="Garamond"/>
          <w:i/>
          <w:sz w:val="26"/>
          <w:szCs w:val="26"/>
        </w:rPr>
        <w:t>La circolazione dei prodotti di cui al presente articolo è legittimata dall'applicazione, sui singoli condizionamenti, di appositi contrassegni di legittimazione e di avvertenze esclusivamente in lingua italiana. Le disposizioni di cui al presente comma si applicano a decorrere dal 1°</w:t>
      </w:r>
      <w:r w:rsidRPr="00FC6470">
        <w:rPr>
          <w:rFonts w:ascii="Garamond" w:hAnsi="Garamond"/>
          <w:i/>
          <w:vanish/>
          <w:sz w:val="26"/>
          <w:szCs w:val="26"/>
        </w:rPr>
        <w:t>(gradi)</w:t>
      </w:r>
      <w:r w:rsidRPr="00FC6470">
        <w:rPr>
          <w:rFonts w:ascii="Garamond" w:hAnsi="Garamond"/>
          <w:i/>
          <w:sz w:val="26"/>
          <w:szCs w:val="26"/>
        </w:rPr>
        <w:t xml:space="preserve"> aprile 2021</w:t>
      </w:r>
      <w:r w:rsidRPr="00FC6470">
        <w:rPr>
          <w:rFonts w:ascii="Garamond" w:hAnsi="Garamond"/>
          <w:sz w:val="26"/>
          <w:szCs w:val="26"/>
        </w:rPr>
        <w:t>.”;</w:t>
      </w: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A36B37" w:rsidRDefault="00A36B37" w:rsidP="00A36B37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DE3117">
        <w:rPr>
          <w:rFonts w:ascii="Garamond" w:hAnsi="Garamond"/>
          <w:b/>
          <w:sz w:val="26"/>
          <w:szCs w:val="26"/>
        </w:rPr>
        <w:t xml:space="preserve">VISTO </w:t>
      </w:r>
      <w:r>
        <w:rPr>
          <w:rFonts w:ascii="Garamond" w:hAnsi="Garamond"/>
          <w:sz w:val="26"/>
          <w:szCs w:val="26"/>
        </w:rPr>
        <w:t xml:space="preserve">che all’articolo </w:t>
      </w:r>
      <w:r w:rsidR="0069723A">
        <w:rPr>
          <w:rFonts w:ascii="Garamond" w:hAnsi="Garamond"/>
          <w:sz w:val="26"/>
          <w:szCs w:val="26"/>
        </w:rPr>
        <w:t xml:space="preserve"> 62-</w:t>
      </w:r>
      <w:r w:rsidRPr="00686C38">
        <w:rPr>
          <w:rFonts w:ascii="Garamond" w:hAnsi="Garamond"/>
          <w:i/>
          <w:sz w:val="26"/>
          <w:szCs w:val="26"/>
        </w:rPr>
        <w:t>quater</w:t>
      </w:r>
      <w:r w:rsidR="0069723A">
        <w:rPr>
          <w:rFonts w:ascii="Garamond" w:hAnsi="Garamond"/>
          <w:sz w:val="26"/>
          <w:szCs w:val="26"/>
        </w:rPr>
        <w:t>, comma 5-</w:t>
      </w:r>
      <w:r w:rsidRPr="0069723A">
        <w:rPr>
          <w:rFonts w:ascii="Garamond" w:hAnsi="Garamond"/>
          <w:i/>
          <w:sz w:val="26"/>
          <w:szCs w:val="26"/>
        </w:rPr>
        <w:t>bis</w:t>
      </w:r>
      <w:r>
        <w:rPr>
          <w:rFonts w:ascii="Garamond" w:hAnsi="Garamond"/>
          <w:sz w:val="26"/>
          <w:szCs w:val="26"/>
        </w:rPr>
        <w:t>,</w:t>
      </w:r>
      <w:r w:rsidRPr="00A65708">
        <w:rPr>
          <w:rFonts w:ascii="Garamond" w:hAnsi="Garamond"/>
          <w:sz w:val="26"/>
          <w:szCs w:val="26"/>
        </w:rPr>
        <w:t xml:space="preserve"> del decreto legislativo 26 ottobre 1995, n.</w:t>
      </w:r>
      <w:r>
        <w:rPr>
          <w:rFonts w:ascii="Garamond" w:hAnsi="Garamond"/>
          <w:sz w:val="26"/>
          <w:szCs w:val="26"/>
        </w:rPr>
        <w:t xml:space="preserve"> </w:t>
      </w:r>
      <w:r w:rsidRPr="00A65708">
        <w:rPr>
          <w:rFonts w:ascii="Garamond" w:hAnsi="Garamond"/>
          <w:sz w:val="26"/>
          <w:szCs w:val="26"/>
        </w:rPr>
        <w:t xml:space="preserve">504, come modificato dall’articolo 1, comma 1124, lettera f), della legge 30 dicembre 2020, n. 178, </w:t>
      </w:r>
      <w:r>
        <w:rPr>
          <w:rFonts w:ascii="Garamond" w:hAnsi="Garamond"/>
          <w:sz w:val="26"/>
          <w:szCs w:val="26"/>
        </w:rPr>
        <w:t>è previsto che “</w:t>
      </w:r>
      <w:r w:rsidRPr="00BB4122">
        <w:rPr>
          <w:rFonts w:ascii="Garamond" w:hAnsi="Garamond"/>
          <w:i/>
          <w:sz w:val="26"/>
          <w:szCs w:val="26"/>
        </w:rPr>
        <w:t>Con determinazione del Direttore dell'Agenzia delle dogane e dei monopoli sono stabiliti, per gli esercizi di vicinato, le farmacie e le parafarmacie, le modalità e i requisiti per l'autorizzazione alla vendita e per l'approvvigionamento dei prodotti da inalazione senza combustione costituiti da sostanze liquide di cui al comma 1-bis, secondo i seguenti criteri: a) prevalenza, per gli esercizi di vicinato, escluse le farmacie e le parafarmacie, dell'attività di vendita dei prodotti di cui al comma 1-bis e dei dispositivi meccanici ed elettronici; b) effettiva capacità di garantire il rispetto del divieto di vendita ai minori; c) non discriminazione tra i canali di approvvigionamento; d) presenza dei medesimi requisiti soggettivi previsti per le rivendite di generi di monopolio. Nelle more dell'adozione della determinazione di cui al primo periodo, agli esercizi di cui al presente comma è consentita la prosecuzione dell'attività</w:t>
      </w:r>
      <w:r w:rsidRPr="00F57291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”;</w:t>
      </w:r>
    </w:p>
    <w:p w:rsidR="00A36B37" w:rsidRDefault="00A36B37" w:rsidP="00A36B37">
      <w:pPr>
        <w:pStyle w:val="Nessunaspaziatura"/>
        <w:jc w:val="both"/>
        <w:rPr>
          <w:rFonts w:ascii="Garamond" w:hAnsi="Garamond"/>
          <w:b/>
          <w:sz w:val="26"/>
          <w:szCs w:val="26"/>
        </w:rPr>
      </w:pPr>
    </w:p>
    <w:p w:rsidR="00A36B37" w:rsidRDefault="00A36B37" w:rsidP="00A36B37">
      <w:pPr>
        <w:jc w:val="both"/>
        <w:rPr>
          <w:rFonts w:ascii="Garamond" w:hAnsi="Garamond"/>
          <w:sz w:val="26"/>
          <w:szCs w:val="26"/>
        </w:rPr>
      </w:pPr>
      <w:r w:rsidRPr="00A36B37">
        <w:rPr>
          <w:rFonts w:ascii="Garamond" w:hAnsi="Garamond"/>
          <w:b/>
          <w:sz w:val="26"/>
          <w:szCs w:val="26"/>
        </w:rPr>
        <w:t>VISTA</w:t>
      </w:r>
      <w:r w:rsidRPr="00A36B37">
        <w:rPr>
          <w:rFonts w:ascii="Garamond" w:hAnsi="Garamond"/>
          <w:sz w:val="26"/>
          <w:szCs w:val="26"/>
        </w:rPr>
        <w:t xml:space="preserve"> la determinazione direttoriale prot. n. 92923 del 29 marzo 2021 con la quale è stata data attuazione all’</w:t>
      </w:r>
      <w:r w:rsidR="0069723A">
        <w:rPr>
          <w:rFonts w:ascii="Garamond" w:hAnsi="Garamond" w:cs="Calibri"/>
          <w:bCs/>
          <w:color w:val="000000"/>
          <w:sz w:val="26"/>
          <w:szCs w:val="26"/>
        </w:rPr>
        <w:t>articolo 62-</w:t>
      </w:r>
      <w:r w:rsidRPr="0069723A">
        <w:rPr>
          <w:rFonts w:ascii="Garamond" w:hAnsi="Garamond" w:cs="Calibri"/>
          <w:bCs/>
          <w:i/>
          <w:color w:val="000000"/>
          <w:sz w:val="26"/>
          <w:szCs w:val="26"/>
        </w:rPr>
        <w:t>quater</w:t>
      </w:r>
      <w:r w:rsidR="0069723A">
        <w:rPr>
          <w:rFonts w:ascii="Garamond" w:hAnsi="Garamond" w:cs="Calibri"/>
          <w:bCs/>
          <w:color w:val="000000"/>
          <w:sz w:val="26"/>
          <w:szCs w:val="26"/>
        </w:rPr>
        <w:t>, comma 5-</w:t>
      </w:r>
      <w:r w:rsidRPr="0069723A">
        <w:rPr>
          <w:rFonts w:ascii="Garamond" w:hAnsi="Garamond" w:cs="Calibri"/>
          <w:bCs/>
          <w:i/>
          <w:color w:val="000000"/>
          <w:sz w:val="26"/>
          <w:szCs w:val="26"/>
        </w:rPr>
        <w:t>bis</w:t>
      </w:r>
      <w:r w:rsidRPr="00A36B37">
        <w:rPr>
          <w:rFonts w:ascii="Garamond" w:hAnsi="Garamond" w:cs="Calibri"/>
          <w:bCs/>
          <w:color w:val="000000"/>
          <w:sz w:val="26"/>
          <w:szCs w:val="26"/>
        </w:rPr>
        <w:t>, del decreto legislativo n. 504 del 1995, come sostituito dall’articolo 1</w:t>
      </w:r>
      <w:r w:rsidRPr="00A36B37">
        <w:rPr>
          <w:rFonts w:ascii="Garamond" w:hAnsi="Garamond"/>
          <w:sz w:val="26"/>
          <w:szCs w:val="26"/>
        </w:rPr>
        <w:t>, comma 1124, lettera f), della legge 30 dicembre 2020, n. 178;</w:t>
      </w:r>
    </w:p>
    <w:p w:rsidR="00A36B37" w:rsidRDefault="00A36B37" w:rsidP="00A36B37">
      <w:pPr>
        <w:jc w:val="both"/>
        <w:rPr>
          <w:rFonts w:ascii="Garamond" w:hAnsi="Garamond"/>
          <w:sz w:val="26"/>
          <w:szCs w:val="26"/>
        </w:rPr>
      </w:pPr>
      <w:r w:rsidRPr="00C32E84">
        <w:rPr>
          <w:rFonts w:ascii="Garamond" w:hAnsi="Garamond"/>
          <w:b/>
          <w:sz w:val="26"/>
          <w:szCs w:val="26"/>
        </w:rPr>
        <w:t>VISTA</w:t>
      </w:r>
      <w:r>
        <w:rPr>
          <w:rFonts w:ascii="Garamond" w:hAnsi="Garamond"/>
          <w:sz w:val="26"/>
          <w:szCs w:val="26"/>
        </w:rPr>
        <w:t xml:space="preserve"> la </w:t>
      </w:r>
      <w:r w:rsidR="00C32E84">
        <w:rPr>
          <w:rFonts w:ascii="Garamond" w:hAnsi="Garamond"/>
          <w:sz w:val="26"/>
          <w:szCs w:val="26"/>
        </w:rPr>
        <w:t>circolare della Direzione Accise-Tabacchi</w:t>
      </w:r>
      <w:r>
        <w:rPr>
          <w:rFonts w:ascii="Garamond" w:hAnsi="Garamond"/>
          <w:sz w:val="26"/>
          <w:szCs w:val="26"/>
        </w:rPr>
        <w:t xml:space="preserve"> n. </w:t>
      </w:r>
      <w:r w:rsidR="0092454E" w:rsidRPr="0092454E">
        <w:rPr>
          <w:rFonts w:ascii="Garamond" w:hAnsi="Garamond"/>
          <w:sz w:val="26"/>
          <w:szCs w:val="26"/>
        </w:rPr>
        <w:t xml:space="preserve">prot. </w:t>
      </w:r>
      <w:r w:rsidR="0092454E">
        <w:rPr>
          <w:rFonts w:ascii="Garamond" w:hAnsi="Garamond"/>
          <w:sz w:val="26"/>
          <w:szCs w:val="26"/>
        </w:rPr>
        <w:t>_______</w:t>
      </w:r>
      <w:r w:rsidR="0092454E" w:rsidRPr="0092454E">
        <w:rPr>
          <w:rFonts w:ascii="Garamond" w:hAnsi="Garamond"/>
          <w:sz w:val="26"/>
          <w:szCs w:val="26"/>
        </w:rPr>
        <w:t>del</w:t>
      </w:r>
      <w:r w:rsidR="0092454E">
        <w:rPr>
          <w:rFonts w:ascii="Garamond" w:hAnsi="Garamond"/>
          <w:sz w:val="26"/>
          <w:szCs w:val="26"/>
        </w:rPr>
        <w:t xml:space="preserve"> _______ regolante l’autorizzazione alla vendita di prodotti liquidi da inalazione di cui all’articolo 62-quater, decreto legislativo 26 ottobre 1995, n. 504, per periodi inferiori al biennio;</w:t>
      </w:r>
    </w:p>
    <w:p w:rsidR="00A36B37" w:rsidRPr="00A36B37" w:rsidRDefault="00A36B37" w:rsidP="00A36B37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7D3A3B">
        <w:rPr>
          <w:rFonts w:ascii="Garamond" w:hAnsi="Garamond" w:cs="Calibri"/>
          <w:b/>
          <w:bCs/>
          <w:color w:val="000000"/>
          <w:sz w:val="26"/>
          <w:szCs w:val="26"/>
        </w:rPr>
        <w:t>CONSIDERATO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che pertanto la qualifica di esercizio di vicinato costituisce presupposto imprescindibile ai fini del rilascio dell’autorizzazione alla vendita di prodotti liquidi da inalazione normativamente previsto ai sensi dell’art. 62-</w:t>
      </w:r>
      <w:r w:rsidRPr="00686C38">
        <w:rPr>
          <w:rFonts w:ascii="Garamond" w:hAnsi="Garamond" w:cs="Calibri"/>
          <w:bCs/>
          <w:i/>
          <w:color w:val="000000"/>
          <w:sz w:val="26"/>
          <w:szCs w:val="26"/>
        </w:rPr>
        <w:t>quater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Pr="00A65708">
        <w:rPr>
          <w:rFonts w:ascii="Garamond" w:hAnsi="Garamond"/>
          <w:sz w:val="26"/>
          <w:szCs w:val="26"/>
        </w:rPr>
        <w:t xml:space="preserve">decreto legislativo 26 </w:t>
      </w:r>
      <w:r w:rsidRPr="00B9447F">
        <w:rPr>
          <w:rFonts w:ascii="Garamond" w:hAnsi="Garamond"/>
          <w:sz w:val="26"/>
          <w:szCs w:val="26"/>
        </w:rPr>
        <w:t>ottobre 1995, n. 504</w:t>
      </w:r>
      <w:r>
        <w:rPr>
          <w:rFonts w:ascii="Garamond" w:hAnsi="Garamond"/>
          <w:sz w:val="26"/>
          <w:szCs w:val="26"/>
        </w:rPr>
        <w:t xml:space="preserve">; e che la predetta qualificazione </w:t>
      </w:r>
      <w:r>
        <w:rPr>
          <w:rFonts w:ascii="Garamond" w:hAnsi="Garamond" w:cs="Calibri"/>
          <w:bCs/>
          <w:color w:val="000000"/>
          <w:sz w:val="26"/>
          <w:szCs w:val="26"/>
        </w:rPr>
        <w:t>deriva da un titolo abilitativo o altro atto equipollente rilasciato dalle competenti autorità secondo le normative di settore;</w:t>
      </w:r>
    </w:p>
    <w:p w:rsidR="00A36B37" w:rsidRDefault="00A36B37" w:rsidP="00A36B37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TENUTO CONTO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che </w:t>
      </w:r>
      <w:r w:rsidR="00800447">
        <w:rPr>
          <w:rFonts w:ascii="Garamond" w:hAnsi="Garamond" w:cs="Calibri"/>
          <w:bCs/>
          <w:color w:val="000000"/>
          <w:sz w:val="26"/>
          <w:szCs w:val="26"/>
        </w:rPr>
        <w:t>l’autorizzazione già rilasciata dallo scrivente Ufficio ha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durata </w:t>
      </w:r>
      <w:r w:rsidR="00800447">
        <w:rPr>
          <w:rFonts w:ascii="Garamond" w:hAnsi="Garamond" w:cs="Calibri"/>
          <w:bCs/>
          <w:color w:val="000000"/>
          <w:sz w:val="26"/>
          <w:szCs w:val="26"/>
        </w:rPr>
        <w:t xml:space="preserve">inferiore al biennio in ragione </w:t>
      </w:r>
      <w:r>
        <w:rPr>
          <w:rFonts w:ascii="Garamond" w:hAnsi="Garamond" w:cs="Calibri"/>
          <w:bCs/>
          <w:color w:val="000000"/>
          <w:sz w:val="26"/>
          <w:szCs w:val="26"/>
        </w:rPr>
        <w:t>del</w:t>
      </w:r>
      <w:r w:rsidR="00800447">
        <w:rPr>
          <w:rFonts w:ascii="Garamond" w:hAnsi="Garamond" w:cs="Calibri"/>
          <w:bCs/>
          <w:color w:val="000000"/>
          <w:sz w:val="26"/>
          <w:szCs w:val="26"/>
        </w:rPr>
        <w:t>la validità del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titolo abilitativo allo svolgimento dell’attività di esercizio di vicinato rilasciato dalle competenti autorità;</w:t>
      </w:r>
    </w:p>
    <w:p w:rsidR="008B4159" w:rsidRDefault="00C145F5">
      <w:pPr>
        <w:spacing w:after="160" w:line="340" w:lineRule="exact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800447">
        <w:rPr>
          <w:rFonts w:ascii="Garamond" w:hAnsi="Garamond" w:cs="Calibri"/>
          <w:b/>
          <w:bCs/>
          <w:color w:val="000000"/>
          <w:sz w:val="26"/>
          <w:szCs w:val="26"/>
        </w:rPr>
        <w:t>V</w:t>
      </w:r>
      <w:r w:rsidR="00800447">
        <w:rPr>
          <w:rFonts w:ascii="Garamond" w:hAnsi="Garamond" w:cs="Calibri"/>
          <w:b/>
          <w:bCs/>
          <w:color w:val="000000"/>
          <w:sz w:val="26"/>
          <w:szCs w:val="26"/>
        </w:rPr>
        <w:t>ISTO</w:t>
      </w:r>
      <w:r>
        <w:rPr>
          <w:rFonts w:ascii="Garamond" w:eastAsia="Times New Roman" w:hAnsi="Garamond" w:cs="Arial"/>
          <w:b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 w:cs="Arial"/>
          <w:sz w:val="26"/>
          <w:szCs w:val="26"/>
          <w:lang w:eastAsia="it-IT"/>
        </w:rPr>
        <w:t>il decreto legislativo 12 gennaio 2016, n. 6, recante recepimento della direttiva 2014/40/UE, sul ravvicinamento delle disposizioni legislative, regolamentari e amministrative degli Stati membri relative alla lavorazione, alla presentazione e alla vendita dei prodotti del tabacco e dei prodotti correlati e che abroga la direttiva 2001/37/CE;</w:t>
      </w:r>
    </w:p>
    <w:p w:rsidR="00236263" w:rsidRDefault="00C145F5">
      <w:pPr>
        <w:spacing w:after="160" w:line="340" w:lineRule="exact"/>
        <w:jc w:val="both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Arial"/>
          <w:b/>
          <w:sz w:val="26"/>
          <w:szCs w:val="26"/>
          <w:lang w:eastAsia="it-IT"/>
        </w:rPr>
        <w:t>V</w:t>
      </w:r>
      <w:r w:rsidR="00800447">
        <w:rPr>
          <w:rFonts w:ascii="Garamond" w:eastAsia="Times New Roman" w:hAnsi="Garamond" w:cs="Arial"/>
          <w:b/>
          <w:sz w:val="26"/>
          <w:szCs w:val="26"/>
          <w:lang w:eastAsia="it-IT"/>
        </w:rPr>
        <w:t>ISTA</w:t>
      </w:r>
      <w:r>
        <w:rPr>
          <w:rFonts w:ascii="Garamond" w:eastAsia="Times New Roman" w:hAnsi="Garamond" w:cs="Arial"/>
          <w:b/>
          <w:sz w:val="26"/>
          <w:szCs w:val="26"/>
          <w:lang w:eastAsia="it-IT"/>
        </w:rPr>
        <w:t xml:space="preserve"> </w:t>
      </w:r>
      <w:r w:rsidR="00236263">
        <w:rPr>
          <w:rFonts w:ascii="Garamond" w:eastAsia="Times New Roman" w:hAnsi="Garamond" w:cs="Arial"/>
          <w:sz w:val="26"/>
          <w:szCs w:val="26"/>
          <w:lang w:eastAsia="it-IT"/>
        </w:rPr>
        <w:t>l</w:t>
      </w:r>
      <w:r w:rsidR="00800447">
        <w:rPr>
          <w:rFonts w:ascii="Garamond" w:eastAsia="Times New Roman" w:hAnsi="Garamond" w:cs="Arial"/>
          <w:sz w:val="26"/>
          <w:szCs w:val="26"/>
          <w:lang w:eastAsia="it-IT"/>
        </w:rPr>
        <w:t>’istanza di rinnovo</w:t>
      </w:r>
      <w:r w:rsidR="00236263">
        <w:rPr>
          <w:rFonts w:ascii="Garamond" w:eastAsia="Times New Roman" w:hAnsi="Garamond" w:cs="Arial"/>
          <w:sz w:val="26"/>
          <w:szCs w:val="26"/>
          <w:lang w:eastAsia="it-IT"/>
        </w:rPr>
        <w:t xml:space="preserve"> pervenuta in data_____________,</w:t>
      </w: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>presentata da</w:t>
      </w:r>
      <w:r w:rsidR="00C50ECE">
        <w:rPr>
          <w:rFonts w:ascii="Garamond" w:eastAsia="Times New Roman" w:hAnsi="Garamond" w:cs="Arial"/>
          <w:sz w:val="26"/>
          <w:szCs w:val="26"/>
          <w:lang w:eastAsia="it-IT"/>
        </w:rPr>
        <w:t>l</w:t>
      </w:r>
      <w:r w:rsidR="00573FD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>Sig.</w:t>
      </w:r>
      <w:r w:rsidR="00C50ECE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2A6A5F">
        <w:rPr>
          <w:rFonts w:ascii="Garamond" w:eastAsia="Times New Roman" w:hAnsi="Garamond" w:cs="Arial"/>
          <w:sz w:val="26"/>
          <w:szCs w:val="26"/>
          <w:lang w:eastAsia="it-IT"/>
        </w:rPr>
        <w:t>__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>______________</w:t>
      </w:r>
      <w:r w:rsidR="002A6A5F">
        <w:rPr>
          <w:rFonts w:ascii="Garamond" w:eastAsia="Times New Roman" w:hAnsi="Garamond" w:cs="Arial"/>
          <w:sz w:val="26"/>
          <w:szCs w:val="26"/>
          <w:lang w:eastAsia="it-IT"/>
        </w:rPr>
        <w:t>_________</w:t>
      </w:r>
      <w:r w:rsidR="00E11859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>(</w:t>
      </w:r>
      <w:r w:rsidR="008A09B5">
        <w:rPr>
          <w:rFonts w:ascii="Garamond" w:eastAsia="Times New Roman" w:hAnsi="Garamond" w:cs="Arial"/>
          <w:sz w:val="26"/>
          <w:szCs w:val="26"/>
          <w:lang w:eastAsia="it-IT"/>
        </w:rPr>
        <w:t>C.F.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 xml:space="preserve">: </w:t>
      </w:r>
      <w:r w:rsidR="002A6A5F">
        <w:rPr>
          <w:rFonts w:ascii="Garamond" w:hAnsi="Garamond" w:cs="Arial"/>
          <w:sz w:val="26"/>
          <w:szCs w:val="26"/>
        </w:rPr>
        <w:t>__________________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 xml:space="preserve">) legale rappresentante della </w:t>
      </w:r>
      <w:r w:rsidR="007F7EB2">
        <w:rPr>
          <w:rFonts w:ascii="Garamond" w:eastAsia="Times New Roman" w:hAnsi="Garamond" w:cs="Arial"/>
          <w:sz w:val="26"/>
          <w:szCs w:val="26"/>
          <w:lang w:eastAsia="it-IT"/>
        </w:rPr>
        <w:t>s</w:t>
      </w:r>
      <w:r w:rsidR="00D03646">
        <w:rPr>
          <w:rFonts w:ascii="Garamond" w:eastAsia="Times New Roman" w:hAnsi="Garamond" w:cs="Arial"/>
          <w:sz w:val="26"/>
          <w:szCs w:val="26"/>
          <w:lang w:eastAsia="it-IT"/>
        </w:rPr>
        <w:t>ocietà</w:t>
      </w:r>
      <w:r w:rsidR="00E11859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2A6A5F">
        <w:rPr>
          <w:rFonts w:ascii="Garamond" w:eastAsia="Times New Roman" w:hAnsi="Garamond" w:cs="Arial"/>
          <w:sz w:val="26"/>
          <w:szCs w:val="26"/>
          <w:lang w:eastAsia="it-IT"/>
        </w:rPr>
        <w:t>_______________</w:t>
      </w:r>
      <w:r w:rsidR="000512C1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>(</w:t>
      </w:r>
      <w:r w:rsidR="008A09B5">
        <w:rPr>
          <w:rFonts w:ascii="Garamond" w:eastAsia="Times New Roman" w:hAnsi="Garamond" w:cs="Arial"/>
          <w:sz w:val="26"/>
          <w:szCs w:val="26"/>
          <w:lang w:eastAsia="it-IT"/>
        </w:rPr>
        <w:t>C.F.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2A6A5F">
        <w:rPr>
          <w:rFonts w:ascii="Garamond" w:hAnsi="Garamond" w:cs="Arial"/>
          <w:sz w:val="26"/>
          <w:szCs w:val="26"/>
        </w:rPr>
        <w:t>_________________</w:t>
      </w:r>
      <w:r w:rsidR="001734F3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A09B5">
        <w:rPr>
          <w:rFonts w:ascii="Garamond" w:eastAsia="Times New Roman" w:hAnsi="Garamond" w:cs="Arial"/>
          <w:sz w:val="26"/>
          <w:szCs w:val="26"/>
          <w:lang w:eastAsia="it-IT"/>
        </w:rPr>
        <w:t>/P.IVA</w:t>
      </w:r>
      <w:r w:rsidR="002A6A5F">
        <w:rPr>
          <w:rFonts w:ascii="Garamond" w:hAnsi="Garamond" w:cs="Arial"/>
          <w:sz w:val="26"/>
          <w:szCs w:val="26"/>
        </w:rPr>
        <w:t>_______________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>), titolare</w:t>
      </w:r>
      <w:r w:rsidR="00800447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 xml:space="preserve">dell’esercizio di vicinato sito nel Comune di </w:t>
      </w:r>
      <w:r w:rsidR="002A6A5F">
        <w:rPr>
          <w:rFonts w:ascii="Garamond" w:eastAsia="Times New Roman" w:hAnsi="Garamond" w:cs="Arial"/>
          <w:sz w:val="26"/>
          <w:szCs w:val="26"/>
          <w:lang w:eastAsia="it-IT"/>
        </w:rPr>
        <w:t>_____________________</w:t>
      </w:r>
      <w:r w:rsidR="00117F15">
        <w:rPr>
          <w:rFonts w:ascii="Garamond" w:eastAsia="Times New Roman" w:hAnsi="Garamond" w:cs="Arial"/>
          <w:sz w:val="26"/>
          <w:szCs w:val="26"/>
          <w:lang w:eastAsia="it-IT"/>
        </w:rPr>
        <w:t xml:space="preserve"> (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C32E84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117F15">
        <w:rPr>
          <w:rFonts w:ascii="Garamond" w:eastAsia="Times New Roman" w:hAnsi="Garamond" w:cs="Arial"/>
          <w:sz w:val="26"/>
          <w:szCs w:val="26"/>
          <w:lang w:eastAsia="it-IT"/>
        </w:rPr>
        <w:t>)</w:t>
      </w:r>
      <w:r w:rsidR="003D268C">
        <w:rPr>
          <w:rFonts w:ascii="Garamond" w:eastAsia="Times New Roman" w:hAnsi="Garamond" w:cs="Arial"/>
          <w:sz w:val="26"/>
          <w:szCs w:val="26"/>
          <w:lang w:eastAsia="it-IT"/>
        </w:rPr>
        <w:t>,</w:t>
      </w:r>
      <w:r w:rsidR="008822AF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1B68E4">
        <w:rPr>
          <w:rFonts w:ascii="Garamond" w:eastAsia="Times New Roman" w:hAnsi="Garamond" w:cs="Arial"/>
          <w:sz w:val="26"/>
          <w:szCs w:val="26"/>
          <w:lang w:eastAsia="it-IT"/>
        </w:rPr>
        <w:t xml:space="preserve">Via </w:t>
      </w:r>
      <w:r w:rsidR="008A09B5">
        <w:rPr>
          <w:rFonts w:ascii="Garamond" w:eastAsia="Times New Roman" w:hAnsi="Garamond" w:cs="Arial"/>
          <w:sz w:val="26"/>
          <w:szCs w:val="26"/>
          <w:lang w:eastAsia="it-IT"/>
        </w:rPr>
        <w:t>______________________ per il periodo dal ________ al _________</w:t>
      </w:r>
      <w:r w:rsidR="00800447">
        <w:rPr>
          <w:rFonts w:ascii="Garamond" w:eastAsia="Times New Roman" w:hAnsi="Garamond" w:cs="Arial"/>
          <w:sz w:val="26"/>
          <w:szCs w:val="26"/>
          <w:lang w:eastAsia="it-IT"/>
        </w:rPr>
        <w:t>;</w:t>
      </w:r>
    </w:p>
    <w:p w:rsidR="008B4159" w:rsidRDefault="00C145F5">
      <w:pPr>
        <w:spacing w:after="160" w:line="340" w:lineRule="exact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>
        <w:rPr>
          <w:rFonts w:ascii="Garamond" w:eastAsia="Times New Roman" w:hAnsi="Garamond" w:cs="Arial"/>
          <w:b/>
          <w:sz w:val="26"/>
          <w:szCs w:val="26"/>
          <w:lang w:eastAsia="it-IT"/>
        </w:rPr>
        <w:lastRenderedPageBreak/>
        <w:t>A</w:t>
      </w:r>
      <w:r w:rsidR="00800447">
        <w:rPr>
          <w:rFonts w:ascii="Garamond" w:eastAsia="Times New Roman" w:hAnsi="Garamond" w:cs="Arial"/>
          <w:b/>
          <w:sz w:val="26"/>
          <w:szCs w:val="26"/>
          <w:lang w:eastAsia="it-IT"/>
        </w:rPr>
        <w:t>CCERTATA</w:t>
      </w:r>
      <w:r>
        <w:rPr>
          <w:rFonts w:ascii="Garamond" w:eastAsia="Times New Roman" w:hAnsi="Garamond" w:cs="Arial"/>
          <w:b/>
          <w:sz w:val="26"/>
          <w:szCs w:val="26"/>
          <w:lang w:eastAsia="it-IT"/>
        </w:rPr>
        <w:t xml:space="preserve"> </w:t>
      </w:r>
      <w:r w:rsidR="001918FC">
        <w:rPr>
          <w:rFonts w:ascii="Garamond" w:eastAsia="Times New Roman" w:hAnsi="Garamond" w:cs="Arial"/>
          <w:sz w:val="26"/>
          <w:szCs w:val="26"/>
          <w:lang w:eastAsia="it-IT"/>
        </w:rPr>
        <w:t xml:space="preserve">la </w:t>
      </w:r>
      <w:r w:rsidR="00800447">
        <w:rPr>
          <w:rFonts w:ascii="Garamond" w:eastAsia="Times New Roman" w:hAnsi="Garamond" w:cs="Arial"/>
          <w:sz w:val="26"/>
          <w:szCs w:val="26"/>
          <w:lang w:eastAsia="it-IT"/>
        </w:rPr>
        <w:t>conformità dell’istanza</w:t>
      </w:r>
      <w:r w:rsidR="00D464A8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1918FC">
        <w:rPr>
          <w:rFonts w:ascii="Garamond" w:eastAsia="Times New Roman" w:hAnsi="Garamond" w:cs="Arial"/>
          <w:sz w:val="26"/>
          <w:szCs w:val="26"/>
          <w:lang w:eastAsia="it-IT"/>
        </w:rPr>
        <w:t xml:space="preserve">a quanto previsto dalla </w:t>
      </w:r>
      <w:r w:rsidR="00C32E84">
        <w:rPr>
          <w:rFonts w:ascii="Garamond" w:eastAsia="Times New Roman" w:hAnsi="Garamond" w:cs="Arial"/>
          <w:sz w:val="26"/>
          <w:szCs w:val="26"/>
          <w:lang w:eastAsia="it-IT"/>
        </w:rPr>
        <w:t>circolare</w:t>
      </w: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>di cui in premessa</w:t>
      </w:r>
      <w:r w:rsidRPr="00A31B91">
        <w:rPr>
          <w:rFonts w:ascii="Garamond" w:eastAsia="Times New Roman" w:hAnsi="Garamond" w:cs="Arial"/>
          <w:sz w:val="26"/>
          <w:szCs w:val="26"/>
          <w:lang w:eastAsia="it-IT"/>
        </w:rPr>
        <w:t>;</w:t>
      </w: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</w:p>
    <w:p w:rsidR="00076ACA" w:rsidRDefault="00800447">
      <w:pPr>
        <w:spacing w:after="160" w:line="340" w:lineRule="exact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>
        <w:rPr>
          <w:rFonts w:ascii="Garamond" w:eastAsia="Times New Roman" w:hAnsi="Garamond" w:cs="Arial"/>
          <w:b/>
          <w:sz w:val="26"/>
          <w:szCs w:val="26"/>
          <w:lang w:eastAsia="it-IT"/>
        </w:rPr>
        <w:t>PRESO ATTO</w:t>
      </w:r>
      <w:r w:rsidR="00C854D2">
        <w:rPr>
          <w:rFonts w:ascii="Garamond" w:eastAsia="Times New Roman" w:hAnsi="Garamond" w:cs="Arial"/>
          <w:sz w:val="26"/>
          <w:szCs w:val="26"/>
          <w:lang w:eastAsia="it-IT"/>
        </w:rPr>
        <w:t xml:space="preserve"> che non sussistono elementi ostativi</w:t>
      </w:r>
      <w:r w:rsidR="00494BC9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</w:p>
    <w:p w:rsidR="00405614" w:rsidRDefault="00405614">
      <w:pPr>
        <w:spacing w:after="160" w:line="340" w:lineRule="exact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</w:p>
    <w:p w:rsidR="008B4159" w:rsidRDefault="00F66852">
      <w:pPr>
        <w:spacing w:after="160" w:line="340" w:lineRule="exact"/>
        <w:jc w:val="center"/>
        <w:rPr>
          <w:rFonts w:ascii="Garamond" w:eastAsia="Times New Roman" w:hAnsi="Garamond" w:cs="Arial"/>
          <w:b/>
          <w:sz w:val="26"/>
          <w:szCs w:val="26"/>
          <w:lang w:eastAsia="it-IT"/>
        </w:rPr>
      </w:pPr>
      <w:r>
        <w:rPr>
          <w:rFonts w:ascii="Garamond" w:eastAsia="Times New Roman" w:hAnsi="Garamond" w:cs="Arial"/>
          <w:b/>
          <w:sz w:val="26"/>
          <w:szCs w:val="26"/>
          <w:lang w:eastAsia="it-IT"/>
        </w:rPr>
        <w:t>S</w:t>
      </w:r>
      <w:r w:rsidR="00C145F5">
        <w:rPr>
          <w:rFonts w:ascii="Garamond" w:eastAsia="Times New Roman" w:hAnsi="Garamond" w:cs="Arial"/>
          <w:b/>
          <w:sz w:val="26"/>
          <w:szCs w:val="26"/>
          <w:lang w:eastAsia="it-IT"/>
        </w:rPr>
        <w:t xml:space="preserve">I </w:t>
      </w:r>
      <w:r w:rsidR="00D464A8">
        <w:rPr>
          <w:rFonts w:ascii="Garamond" w:eastAsia="Times New Roman" w:hAnsi="Garamond" w:cs="Arial"/>
          <w:b/>
          <w:sz w:val="26"/>
          <w:szCs w:val="26"/>
          <w:lang w:eastAsia="it-IT"/>
        </w:rPr>
        <w:t>AUTORIZZA</w:t>
      </w:r>
    </w:p>
    <w:p w:rsidR="00447C8D" w:rsidRDefault="00D464A8" w:rsidP="00D464A8">
      <w:pPr>
        <w:spacing w:after="240" w:line="340" w:lineRule="exact"/>
        <w:jc w:val="both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  <w:lang w:eastAsia="it-IT"/>
        </w:rPr>
        <w:t>L</w:t>
      </w:r>
      <w:r w:rsidR="00C145F5">
        <w:rPr>
          <w:rFonts w:ascii="Garamond" w:eastAsia="Times New Roman" w:hAnsi="Garamond" w:cs="Arial"/>
          <w:sz w:val="26"/>
          <w:szCs w:val="26"/>
          <w:lang w:eastAsia="it-IT"/>
        </w:rPr>
        <w:t xml:space="preserve">a </w:t>
      </w:r>
      <w:r w:rsidR="00D03646">
        <w:rPr>
          <w:rFonts w:ascii="Garamond" w:eastAsia="Times New Roman" w:hAnsi="Garamond" w:cs="Arial"/>
          <w:sz w:val="26"/>
          <w:szCs w:val="26"/>
          <w:lang w:eastAsia="it-IT"/>
        </w:rPr>
        <w:t>società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>/ditta individuale</w:t>
      </w:r>
      <w:r w:rsidR="00E11859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2A6A5F">
        <w:rPr>
          <w:rFonts w:ascii="Garamond" w:eastAsia="Times New Roman" w:hAnsi="Garamond" w:cs="Arial"/>
          <w:b/>
          <w:sz w:val="26"/>
          <w:szCs w:val="26"/>
          <w:lang w:eastAsia="it-IT"/>
        </w:rPr>
        <w:t>__________</w:t>
      </w:r>
      <w:r w:rsidR="00447C8D">
        <w:rPr>
          <w:rFonts w:ascii="Garamond" w:eastAsia="Times New Roman" w:hAnsi="Garamond" w:cs="Arial"/>
          <w:b/>
          <w:sz w:val="26"/>
          <w:szCs w:val="26"/>
          <w:lang w:eastAsia="it-IT"/>
        </w:rPr>
        <w:t>_____________</w:t>
      </w:r>
      <w:r w:rsidR="002A6A5F">
        <w:rPr>
          <w:rFonts w:ascii="Garamond" w:eastAsia="Times New Roman" w:hAnsi="Garamond" w:cs="Arial"/>
          <w:b/>
          <w:sz w:val="26"/>
          <w:szCs w:val="26"/>
          <w:lang w:eastAsia="it-IT"/>
        </w:rPr>
        <w:t>__</w:t>
      </w:r>
      <w:r w:rsidR="00447C8D">
        <w:rPr>
          <w:rFonts w:ascii="Garamond" w:eastAsia="Times New Roman" w:hAnsi="Garamond" w:cs="Arial"/>
          <w:b/>
          <w:sz w:val="26"/>
          <w:szCs w:val="26"/>
          <w:lang w:eastAsia="it-IT"/>
        </w:rPr>
        <w:t>__________________</w:t>
      </w:r>
      <w:r w:rsidR="002A6A5F">
        <w:rPr>
          <w:rFonts w:ascii="Garamond" w:eastAsia="Times New Roman" w:hAnsi="Garamond" w:cs="Arial"/>
          <w:b/>
          <w:sz w:val="26"/>
          <w:szCs w:val="26"/>
          <w:lang w:eastAsia="it-IT"/>
        </w:rPr>
        <w:t>___</w:t>
      </w:r>
      <w:r w:rsidR="001734F3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C32E84">
        <w:rPr>
          <w:rFonts w:ascii="Garamond" w:eastAsia="Times New Roman" w:hAnsi="Garamond" w:cs="Arial"/>
          <w:sz w:val="26"/>
          <w:szCs w:val="26"/>
          <w:lang w:eastAsia="it-IT"/>
        </w:rPr>
        <w:t>al</w:t>
      </w:r>
      <w:r w:rsidR="00C145F5">
        <w:rPr>
          <w:rFonts w:ascii="Garamond" w:eastAsia="Times New Roman" w:hAnsi="Garamond" w:cs="Arial"/>
          <w:sz w:val="26"/>
          <w:szCs w:val="26"/>
          <w:lang w:eastAsia="it-IT"/>
        </w:rPr>
        <w:t>la vendita e approvvigionamento dei prodotti</w:t>
      </w:r>
      <w:r w:rsidR="00391951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800447">
        <w:rPr>
          <w:rFonts w:ascii="Garamond" w:eastAsia="Times New Roman" w:hAnsi="Garamond" w:cs="Arial"/>
          <w:sz w:val="26"/>
          <w:szCs w:val="26"/>
          <w:lang w:eastAsia="it-IT"/>
        </w:rPr>
        <w:t>liquidi da i</w:t>
      </w:r>
      <w:r w:rsidR="00C32E84">
        <w:rPr>
          <w:rFonts w:ascii="Garamond" w:eastAsia="Times New Roman" w:hAnsi="Garamond" w:cs="Arial"/>
          <w:sz w:val="26"/>
          <w:szCs w:val="26"/>
          <w:lang w:eastAsia="it-IT"/>
        </w:rPr>
        <w:t>nalazione ai sensi dell’art. 62-</w:t>
      </w:r>
      <w:r w:rsidR="00800447" w:rsidRPr="00C32E84">
        <w:rPr>
          <w:rFonts w:ascii="Garamond" w:eastAsia="Times New Roman" w:hAnsi="Garamond" w:cs="Arial"/>
          <w:i/>
          <w:sz w:val="26"/>
          <w:szCs w:val="26"/>
          <w:lang w:eastAsia="it-IT"/>
        </w:rPr>
        <w:t>quater</w:t>
      </w:r>
      <w:r w:rsidR="00800447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C32E84">
        <w:rPr>
          <w:rFonts w:ascii="Garamond" w:eastAsia="Times New Roman" w:hAnsi="Garamond" w:cs="Arial"/>
          <w:sz w:val="26"/>
          <w:szCs w:val="26"/>
          <w:lang w:eastAsia="it-IT"/>
        </w:rPr>
        <w:t xml:space="preserve">del </w:t>
      </w:r>
      <w:r w:rsidRPr="00F246D9">
        <w:rPr>
          <w:rFonts w:ascii="Garamond" w:hAnsi="Garamond"/>
          <w:sz w:val="26"/>
          <w:szCs w:val="26"/>
        </w:rPr>
        <w:t>decreto legislativo 26 ottobre 1995, n. 504</w:t>
      </w:r>
      <w:r>
        <w:rPr>
          <w:rFonts w:ascii="Garamond" w:hAnsi="Garamond"/>
          <w:sz w:val="26"/>
          <w:szCs w:val="26"/>
        </w:rPr>
        <w:t>,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 xml:space="preserve"> nell’esercizio di vicinato sito nel Comune di _____________________ ( </w:t>
      </w:r>
      <w:r w:rsidR="00C32E84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447C8D">
        <w:rPr>
          <w:rFonts w:ascii="Garamond" w:eastAsia="Times New Roman" w:hAnsi="Garamond" w:cs="Arial"/>
          <w:sz w:val="26"/>
          <w:szCs w:val="26"/>
          <w:lang w:eastAsia="it-IT"/>
        </w:rPr>
        <w:t xml:space="preserve"> ), Via ________________________;</w:t>
      </w:r>
    </w:p>
    <w:p w:rsidR="002A6A5F" w:rsidRDefault="002A6A5F" w:rsidP="002A6A5F">
      <w:pPr>
        <w:spacing w:after="160" w:line="340" w:lineRule="exact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>
        <w:rPr>
          <w:rFonts w:ascii="Garamond" w:hAnsi="Garamond" w:cs="Arial"/>
          <w:sz w:val="26"/>
          <w:szCs w:val="26"/>
        </w:rPr>
        <w:t>Delegato alla gestione è il Sig. _____________</w:t>
      </w:r>
      <w:r w:rsidR="00447C8D">
        <w:rPr>
          <w:rFonts w:ascii="Garamond" w:hAnsi="Garamond" w:cs="Arial"/>
          <w:sz w:val="26"/>
          <w:szCs w:val="26"/>
        </w:rPr>
        <w:t>___________</w:t>
      </w:r>
      <w:r>
        <w:rPr>
          <w:rFonts w:ascii="Garamond" w:hAnsi="Garamond" w:cs="Arial"/>
          <w:sz w:val="26"/>
          <w:szCs w:val="26"/>
        </w:rPr>
        <w:t>_____ nato a __</w:t>
      </w:r>
      <w:r w:rsidR="00447C8D">
        <w:rPr>
          <w:rFonts w:ascii="Garamond" w:hAnsi="Garamond" w:cs="Arial"/>
          <w:sz w:val="26"/>
          <w:szCs w:val="26"/>
        </w:rPr>
        <w:t>______________</w:t>
      </w:r>
      <w:r>
        <w:rPr>
          <w:rFonts w:ascii="Garamond" w:hAnsi="Garamond" w:cs="Arial"/>
          <w:sz w:val="26"/>
          <w:szCs w:val="26"/>
        </w:rPr>
        <w:t>_____ il ______________ – C.F: _________________________</w:t>
      </w:r>
    </w:p>
    <w:p w:rsidR="008B4159" w:rsidRDefault="00447C8D">
      <w:pPr>
        <w:spacing w:after="160" w:line="340" w:lineRule="exact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>
        <w:rPr>
          <w:rFonts w:ascii="Garamond" w:eastAsia="Times New Roman" w:hAnsi="Garamond" w:cs="Arial"/>
          <w:sz w:val="26"/>
          <w:szCs w:val="26"/>
          <w:lang w:eastAsia="it-IT"/>
        </w:rPr>
        <w:t>Il</w:t>
      </w:r>
      <w:r w:rsidR="00C145F5">
        <w:rPr>
          <w:rFonts w:ascii="Garamond" w:eastAsia="Times New Roman" w:hAnsi="Garamond" w:cs="Arial"/>
          <w:sz w:val="26"/>
          <w:szCs w:val="26"/>
          <w:lang w:eastAsia="it-IT"/>
        </w:rPr>
        <w:t xml:space="preserve"> presente </w:t>
      </w:r>
      <w:r>
        <w:rPr>
          <w:rFonts w:ascii="Garamond" w:eastAsia="Times New Roman" w:hAnsi="Garamond" w:cs="Arial"/>
          <w:sz w:val="26"/>
          <w:szCs w:val="26"/>
          <w:lang w:eastAsia="it-IT"/>
        </w:rPr>
        <w:t>provvedimento</w:t>
      </w:r>
      <w:r w:rsidR="00C145F5">
        <w:rPr>
          <w:rFonts w:ascii="Garamond" w:eastAsia="Times New Roman" w:hAnsi="Garamond" w:cs="Arial"/>
          <w:sz w:val="26"/>
          <w:szCs w:val="26"/>
          <w:lang w:eastAsia="it-IT"/>
        </w:rPr>
        <w:t xml:space="preserve"> ha validità fino al </w:t>
      </w:r>
      <w:r w:rsidR="002A6A5F">
        <w:rPr>
          <w:rFonts w:ascii="Garamond" w:eastAsia="Times New Roman" w:hAnsi="Garamond" w:cs="Arial"/>
          <w:sz w:val="26"/>
          <w:szCs w:val="26"/>
          <w:lang w:eastAsia="it-IT"/>
        </w:rPr>
        <w:t>________</w:t>
      </w:r>
      <w:bookmarkStart w:id="0" w:name="_GoBack"/>
      <w:bookmarkEnd w:id="0"/>
      <w:r w:rsidR="002A6A5F">
        <w:rPr>
          <w:rFonts w:ascii="Garamond" w:eastAsia="Times New Roman" w:hAnsi="Garamond" w:cs="Arial"/>
          <w:sz w:val="26"/>
          <w:szCs w:val="26"/>
          <w:lang w:eastAsia="it-IT"/>
        </w:rPr>
        <w:t>_______________</w:t>
      </w:r>
      <w:r w:rsidR="000A356C">
        <w:rPr>
          <w:rFonts w:ascii="Garamond" w:eastAsia="Times New Roman" w:hAnsi="Garamond" w:cs="Arial"/>
          <w:sz w:val="26"/>
          <w:szCs w:val="26"/>
          <w:lang w:eastAsia="it-IT"/>
        </w:rPr>
        <w:t>.</w:t>
      </w:r>
    </w:p>
    <w:p w:rsidR="008B4159" w:rsidRDefault="00C145F5" w:rsidP="00E32708">
      <w:pPr>
        <w:spacing w:after="0" w:line="240" w:lineRule="auto"/>
        <w:ind w:left="6237"/>
        <w:rPr>
          <w:rFonts w:ascii="Arial" w:hAnsi="Arial" w:cs="Arial"/>
          <w:iCs/>
          <w:sz w:val="16"/>
          <w:szCs w:val="16"/>
        </w:rPr>
      </w:pP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                                      </w:t>
      </w:r>
    </w:p>
    <w:p w:rsidR="008B4159" w:rsidRDefault="00C145F5">
      <w:pPr>
        <w:spacing w:after="1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8B4159" w:rsidRDefault="00BC1D50" w:rsidP="00BC1D50">
      <w:pPr>
        <w:pStyle w:val="Testonotaapidipagina"/>
        <w:ind w:left="5103"/>
        <w:jc w:val="center"/>
      </w:pPr>
      <w:r>
        <w:rPr>
          <w:rFonts w:ascii="Garamond" w:hAnsi="Garamond" w:cs="Arial"/>
          <w:sz w:val="26"/>
          <w:szCs w:val="26"/>
        </w:rPr>
        <w:t>Il Dirigente dell’Ufficio</w:t>
      </w:r>
    </w:p>
    <w:sectPr w:rsidR="008B4159" w:rsidSect="008A09B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13" w:rsidRDefault="00C74113">
      <w:pPr>
        <w:spacing w:after="0" w:line="240" w:lineRule="auto"/>
      </w:pPr>
      <w:r>
        <w:separator/>
      </w:r>
    </w:p>
  </w:endnote>
  <w:endnote w:type="continuationSeparator" w:id="0">
    <w:p w:rsidR="00C74113" w:rsidRDefault="00C7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13" w:rsidRDefault="00C74113">
      <w:pPr>
        <w:spacing w:after="0" w:line="240" w:lineRule="auto"/>
      </w:pPr>
      <w:r>
        <w:separator/>
      </w:r>
    </w:p>
  </w:footnote>
  <w:footnote w:type="continuationSeparator" w:id="0">
    <w:p w:rsidR="00C74113" w:rsidRDefault="00C7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59"/>
    <w:rsid w:val="000074FF"/>
    <w:rsid w:val="000117F6"/>
    <w:rsid w:val="00015A95"/>
    <w:rsid w:val="000512C1"/>
    <w:rsid w:val="0005445B"/>
    <w:rsid w:val="00076ACA"/>
    <w:rsid w:val="00081CAD"/>
    <w:rsid w:val="000A2CA4"/>
    <w:rsid w:val="000A356C"/>
    <w:rsid w:val="000C333C"/>
    <w:rsid w:val="000C3D36"/>
    <w:rsid w:val="000C61BB"/>
    <w:rsid w:val="000D5CA5"/>
    <w:rsid w:val="000F0F4C"/>
    <w:rsid w:val="00117F15"/>
    <w:rsid w:val="0012441C"/>
    <w:rsid w:val="00124D1E"/>
    <w:rsid w:val="00145409"/>
    <w:rsid w:val="001664F1"/>
    <w:rsid w:val="001734F3"/>
    <w:rsid w:val="00185332"/>
    <w:rsid w:val="00186E31"/>
    <w:rsid w:val="001918FC"/>
    <w:rsid w:val="001A69C5"/>
    <w:rsid w:val="001B5C4D"/>
    <w:rsid w:val="001B68E4"/>
    <w:rsid w:val="001C77A3"/>
    <w:rsid w:val="001D2D9B"/>
    <w:rsid w:val="00236263"/>
    <w:rsid w:val="0025582A"/>
    <w:rsid w:val="0029727D"/>
    <w:rsid w:val="002A1BB2"/>
    <w:rsid w:val="002A438C"/>
    <w:rsid w:val="002A6A5F"/>
    <w:rsid w:val="002A7FC6"/>
    <w:rsid w:val="002D302F"/>
    <w:rsid w:val="00314DDC"/>
    <w:rsid w:val="003200D2"/>
    <w:rsid w:val="00325CD1"/>
    <w:rsid w:val="00330C6E"/>
    <w:rsid w:val="0034049A"/>
    <w:rsid w:val="00364E2F"/>
    <w:rsid w:val="00382537"/>
    <w:rsid w:val="00391951"/>
    <w:rsid w:val="003C52D4"/>
    <w:rsid w:val="003C5E63"/>
    <w:rsid w:val="003D268C"/>
    <w:rsid w:val="003F54EC"/>
    <w:rsid w:val="004048E7"/>
    <w:rsid w:val="00405614"/>
    <w:rsid w:val="00405BC0"/>
    <w:rsid w:val="004252C6"/>
    <w:rsid w:val="00445B0A"/>
    <w:rsid w:val="00447C8D"/>
    <w:rsid w:val="004624B0"/>
    <w:rsid w:val="00463FF7"/>
    <w:rsid w:val="00494BC9"/>
    <w:rsid w:val="004B7983"/>
    <w:rsid w:val="004C0851"/>
    <w:rsid w:val="00506537"/>
    <w:rsid w:val="00537D1C"/>
    <w:rsid w:val="00573FDC"/>
    <w:rsid w:val="005D6E78"/>
    <w:rsid w:val="005E5603"/>
    <w:rsid w:val="00637F06"/>
    <w:rsid w:val="006815BA"/>
    <w:rsid w:val="006947C3"/>
    <w:rsid w:val="0069723A"/>
    <w:rsid w:val="006A1443"/>
    <w:rsid w:val="006B6F96"/>
    <w:rsid w:val="006C795C"/>
    <w:rsid w:val="006E051F"/>
    <w:rsid w:val="006E39A1"/>
    <w:rsid w:val="006E54B3"/>
    <w:rsid w:val="00704D48"/>
    <w:rsid w:val="0071484D"/>
    <w:rsid w:val="00744C1E"/>
    <w:rsid w:val="007468D3"/>
    <w:rsid w:val="00755A95"/>
    <w:rsid w:val="00756C01"/>
    <w:rsid w:val="00793DE6"/>
    <w:rsid w:val="007B1239"/>
    <w:rsid w:val="007B560C"/>
    <w:rsid w:val="007B56B2"/>
    <w:rsid w:val="007C4EA1"/>
    <w:rsid w:val="007F7EB2"/>
    <w:rsid w:val="00800447"/>
    <w:rsid w:val="008822AF"/>
    <w:rsid w:val="00890B73"/>
    <w:rsid w:val="008A09B5"/>
    <w:rsid w:val="008B4159"/>
    <w:rsid w:val="0090519F"/>
    <w:rsid w:val="0092454E"/>
    <w:rsid w:val="00961B6E"/>
    <w:rsid w:val="00971533"/>
    <w:rsid w:val="009B71B0"/>
    <w:rsid w:val="009D02C8"/>
    <w:rsid w:val="009F33A7"/>
    <w:rsid w:val="00A115EC"/>
    <w:rsid w:val="00A15140"/>
    <w:rsid w:val="00A257E1"/>
    <w:rsid w:val="00A31B91"/>
    <w:rsid w:val="00A36B37"/>
    <w:rsid w:val="00A6030E"/>
    <w:rsid w:val="00AB1587"/>
    <w:rsid w:val="00AD1A27"/>
    <w:rsid w:val="00AE6EA1"/>
    <w:rsid w:val="00B424DD"/>
    <w:rsid w:val="00B83DE7"/>
    <w:rsid w:val="00BA4C63"/>
    <w:rsid w:val="00BB70CD"/>
    <w:rsid w:val="00BC1D50"/>
    <w:rsid w:val="00BD2B27"/>
    <w:rsid w:val="00BE09F2"/>
    <w:rsid w:val="00BF0D6D"/>
    <w:rsid w:val="00BF3ADA"/>
    <w:rsid w:val="00C11D7B"/>
    <w:rsid w:val="00C145F5"/>
    <w:rsid w:val="00C15D14"/>
    <w:rsid w:val="00C32E84"/>
    <w:rsid w:val="00C50ECE"/>
    <w:rsid w:val="00C548C7"/>
    <w:rsid w:val="00C74113"/>
    <w:rsid w:val="00C854D2"/>
    <w:rsid w:val="00C95395"/>
    <w:rsid w:val="00CC37A3"/>
    <w:rsid w:val="00CF1421"/>
    <w:rsid w:val="00D03646"/>
    <w:rsid w:val="00D229BC"/>
    <w:rsid w:val="00D464A8"/>
    <w:rsid w:val="00D55E72"/>
    <w:rsid w:val="00D75819"/>
    <w:rsid w:val="00DB4A23"/>
    <w:rsid w:val="00DB7811"/>
    <w:rsid w:val="00DE5FDD"/>
    <w:rsid w:val="00E11859"/>
    <w:rsid w:val="00E21C55"/>
    <w:rsid w:val="00E32708"/>
    <w:rsid w:val="00E73B18"/>
    <w:rsid w:val="00E8431A"/>
    <w:rsid w:val="00E87A5E"/>
    <w:rsid w:val="00E94810"/>
    <w:rsid w:val="00E96948"/>
    <w:rsid w:val="00EC0534"/>
    <w:rsid w:val="00F246D9"/>
    <w:rsid w:val="00F34FE9"/>
    <w:rsid w:val="00F45EC2"/>
    <w:rsid w:val="00F4704E"/>
    <w:rsid w:val="00F66852"/>
    <w:rsid w:val="00F72862"/>
    <w:rsid w:val="00F731CA"/>
    <w:rsid w:val="00F87C03"/>
    <w:rsid w:val="00FC6049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D034"/>
  <w15:docId w15:val="{C95B0C10-31B8-4DBB-A56E-A0760E5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jc w:val="center"/>
      <w:outlineLvl w:val="1"/>
    </w:pPr>
    <w:rPr>
      <w:rFonts w:ascii="Verdana" w:hAnsi="Verdana" w:cs="Verdana"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Corpotesto">
    <w:name w:val="Body Text"/>
    <w:basedOn w:val="Predefinito"/>
    <w:link w:val="CorpotestoCarattere1"/>
    <w:uiPriority w:val="99"/>
    <w:pPr>
      <w:spacing w:line="480" w:lineRule="auto"/>
      <w:jc w:val="both"/>
    </w:pPr>
    <w:rPr>
      <w:rFonts w:ascii="Verdana" w:hAnsi="Verdana" w:cs="Verdana"/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uiPriority w:val="99"/>
    <w:semiHidden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Pr>
      <w:rFonts w:ascii="Verdana" w:eastAsiaTheme="minorEastAsia" w:hAnsi="Verdana" w:cs="Verdana"/>
      <w:kern w:val="1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Verdana" w:eastAsiaTheme="minorEastAsia" w:hAnsi="Verdana" w:cs="Verdana"/>
      <w:kern w:val="1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Nessunaspaziatura">
    <w:name w:val="No Spacing"/>
    <w:uiPriority w:val="1"/>
    <w:qFormat/>
    <w:rsid w:val="000A2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aporesrl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8F5A-AF66-416A-899B-999684DB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SCRICCIOLO FEDERICA</cp:lastModifiedBy>
  <cp:revision>13</cp:revision>
  <cp:lastPrinted>2021-03-01T12:04:00Z</cp:lastPrinted>
  <dcterms:created xsi:type="dcterms:W3CDTF">2022-06-27T10:16:00Z</dcterms:created>
  <dcterms:modified xsi:type="dcterms:W3CDTF">2023-02-23T09:31:00Z</dcterms:modified>
</cp:coreProperties>
</file>